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数控加工操作实训课程考核方案</w:t>
      </w:r>
    </w:p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36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一、课程性质</w:t>
      </w:r>
      <w:r>
        <w:rPr>
          <w:rFonts w:hint="eastAsia" w:ascii="宋体" w:hAnsi="宋体"/>
          <w:b/>
          <w:sz w:val="28"/>
          <w:szCs w:val="28"/>
          <w:lang w:eastAsia="zh-CN"/>
        </w:rPr>
        <w:t>与</w:t>
      </w:r>
      <w:r>
        <w:rPr>
          <w:rFonts w:hint="eastAsia" w:ascii="宋体" w:hAnsi="宋体"/>
          <w:b/>
          <w:sz w:val="28"/>
          <w:szCs w:val="28"/>
        </w:rPr>
        <w:t>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《数控加工操作实训》是数控技术专业的必修核心实践课程（环节）。该课程是以数控机床为实训平台，以数控加工工艺分析与工艺文件编制、加工程序编制、数控机床的基本操作技能、工件加工与检测为核心内容。通过实训，使学生能够综合运用数控加工技术的基础知识与基本理论，掌握数控加工的操作技能，达到国家职业资格相应工种中级工的技能水平，培养学生独立分析问题和解决问题的能力。</w:t>
      </w:r>
    </w:p>
    <w:p>
      <w:pPr>
        <w:spacing w:line="360" w:lineRule="auto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1、本课程为考查科目，采用形成性考核成绩占综合考核成绩100%的形式。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2</w:t>
      </w:r>
      <w:r>
        <w:rPr>
          <w:rFonts w:hint="eastAsia" w:eastAsiaTheme="minorEastAsia"/>
          <w:lang w:val="en-US" w:eastAsia="zh-CN"/>
        </w:rPr>
        <w:t>、</w:t>
      </w:r>
      <w:r>
        <w:rPr>
          <w:rFonts w:hint="eastAsia"/>
          <w:lang w:val="en-US" w:eastAsia="zh-CN"/>
        </w:rPr>
        <w:t>本课程的考核方式为</w:t>
      </w:r>
      <w:r>
        <w:rPr>
          <w:rFonts w:hint="default" w:eastAsiaTheme="minorEastAsia"/>
          <w:lang w:val="en-US" w:eastAsia="zh-CN"/>
        </w:rPr>
        <w:t>实训报告</w:t>
      </w:r>
      <w:r>
        <w:rPr>
          <w:rFonts w:hint="eastAsia"/>
          <w:lang w:val="en-US" w:eastAsia="zh-CN"/>
        </w:rPr>
        <w:t>，通过实训提高和熟练学员们的工艺能力、编程能力和操作能力。</w:t>
      </w:r>
      <w:r>
        <w:rPr>
          <w:rFonts w:hint="default" w:eastAsiaTheme="minorEastAsia"/>
          <w:lang w:val="en-US" w:eastAsia="zh-CN"/>
        </w:rPr>
        <w:t>学员在进行数控加工综合实训结束时，</w:t>
      </w:r>
      <w:r>
        <w:rPr>
          <w:rFonts w:hint="eastAsia" w:eastAsiaTheme="minorEastAsia"/>
          <w:lang w:val="en-US" w:eastAsia="zh-CN"/>
        </w:rPr>
        <w:t>需</w:t>
      </w:r>
      <w:r>
        <w:rPr>
          <w:rFonts w:hint="default" w:eastAsiaTheme="minorEastAsia"/>
          <w:lang w:val="en-US" w:eastAsia="zh-CN"/>
        </w:rPr>
        <w:t>要完成实训总结报告一份</w:t>
      </w:r>
      <w:r>
        <w:rPr>
          <w:rFonts w:hint="eastAsia" w:eastAsiaTheme="minorEastAsia"/>
          <w:lang w:val="en-US" w:eastAsia="zh-CN"/>
        </w:rPr>
        <w:t>，报告需实习单位盖章，</w:t>
      </w:r>
      <w:r>
        <w:rPr>
          <w:rFonts w:hint="default" w:eastAsiaTheme="minorEastAsia"/>
          <w:lang w:val="en-US" w:eastAsia="zh-CN"/>
        </w:rPr>
        <w:t>采用电子文档打印稿。具体要求见考核说明。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 w:eastAsiaTheme="minorEastAsia"/>
          <w:lang w:val="en-US" w:eastAsia="zh-CN"/>
        </w:rPr>
        <w:t>凡参加国家职业资格鉴定，取得中级工以上职业资格证书者，可以直接获得操作技能成绩，操作技能实训环节可免修</w:t>
      </w:r>
      <w:bookmarkStart w:id="0" w:name="_GoBack"/>
      <w:bookmarkEnd w:id="0"/>
      <w:r>
        <w:rPr>
          <w:rFonts w:hint="default" w:eastAsiaTheme="minor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83823"/>
    <w:rsid w:val="36D83823"/>
    <w:rsid w:val="70C2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2019-05-20T07:05:00Z</dcterms:created>
  <dc:creator>DⅩQ</dc:creator>
  <cp:lastModifiedBy>DⅩQ</cp:lastModifiedBy>
  <dcterms:modified xsi:type="dcterms:W3CDTF">2019-05-20T07:33:12Z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